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E1" w:rsidRDefault="005E34E1" w:rsidP="005E34E1">
      <w:pPr>
        <w:shd w:val="clear" w:color="auto" w:fill="FFFFFF"/>
        <w:spacing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Основним завданням сво</w:t>
      </w:r>
      <w:r w:rsidR="00DF3F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єї діяльності вважаю покращення соціального статусу громадян шляхом розвитку малого і середнього бізнесу.</w:t>
      </w:r>
    </w:p>
    <w:p w:rsidR="005E34E1" w:rsidRDefault="00DF3FA9" w:rsidP="005E34E1">
      <w:pPr>
        <w:shd w:val="clear" w:color="auto" w:fill="FFFFFF"/>
        <w:spacing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Основні концепції виклав у даній статті.</w:t>
      </w:r>
    </w:p>
    <w:p w:rsidR="005E34E1" w:rsidRDefault="005E34E1" w:rsidP="005E34E1">
      <w:pPr>
        <w:shd w:val="clear" w:color="auto" w:fill="FFFFFF"/>
        <w:spacing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4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Метою цієї статті є з’ясування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питаня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що стосується виявлення </w:t>
      </w:r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34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причин і умов</w:t>
      </w:r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34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гальмування у розвитку малого</w:t>
      </w:r>
      <w:bookmarkStart w:id="0" w:name="_GoBack"/>
      <w:bookmarkEnd w:id="0"/>
      <w:r w:rsidRPr="005E34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середнього бізнесу в Україні.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Визначення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динаміки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напрямів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економіки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сфері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і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середнього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бізнесу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Проблема  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динаміки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і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середнього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бізнесу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довгий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є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ключовою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сфері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й у сферах </w:t>
      </w:r>
      <w:proofErr w:type="spellStart"/>
      <w:proofErr w:type="gram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іального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культурного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сфері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містобудування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міжнародної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34E1" w:rsidRDefault="005E34E1" w:rsidP="005E34E1">
      <w:pPr>
        <w:shd w:val="clear" w:color="auto" w:fill="FFFFFF"/>
        <w:spacing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у </w:t>
      </w:r>
      <w:proofErr w:type="spellStart"/>
      <w:proofErr w:type="gram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ій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у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тій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іншій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і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середнього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бізнесу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ставала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об’єктом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працб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вчених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Костицький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Варналій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З.С.,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Вільчинський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О.М.,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Зянько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В.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Новицький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В.А., Туник Ю. І.</w:t>
      </w:r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Юридичкі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аспекти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цієї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проблеми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досліджувались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працях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Рачинська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В.Я.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Стрілець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О.М.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Діденко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К.В.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Семир’янов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Д.Я.</w:t>
      </w:r>
    </w:p>
    <w:p w:rsidR="005E34E1" w:rsidRDefault="005E34E1" w:rsidP="005E34E1">
      <w:pPr>
        <w:shd w:val="clear" w:color="auto" w:fill="FFFFFF"/>
        <w:spacing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Безумовно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точки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зору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традицій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правотворчості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можливо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звернути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увагу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Українське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віче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котре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стало не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методом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зясування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істини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господарюванні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ай</w:t>
      </w:r>
      <w:proofErr w:type="gram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специфічною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формою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народовладдя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перевагу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довгим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незавжди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доступним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зясуванням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певних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суперечностей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суб’єктами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і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середнього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бізнесу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судах,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українці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вкотре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звернулись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старої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добре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відомої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зясування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істини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вважаємо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народне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віче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безпосереднє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відношення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динаміки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і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середнього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бізнесу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містах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селах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оскільки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 </w:t>
      </w:r>
      <w:proofErr w:type="spellStart"/>
      <w:proofErr w:type="gram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</w:t>
      </w:r>
      <w:proofErr w:type="gram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зясування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певних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ділових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отримують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натхнення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ентузіазм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упевненість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правильності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справи.</w:t>
      </w:r>
      <w:proofErr w:type="spellEnd"/>
    </w:p>
    <w:p w:rsidR="005E34E1" w:rsidRDefault="005E34E1" w:rsidP="005E34E1">
      <w:pPr>
        <w:shd w:val="clear" w:color="auto" w:fill="FFFFFF"/>
        <w:spacing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4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світі інвестування уже стало аксіомою твердження про те, що найбільш ефективними формами малого і середнього бізнесу є ті, котрі дозволяють особі пройти успішний шлях від суб’єкта невеликої справи до власника великого і системного бізнесу, серед вчених, які підтримують дану точку зору не можливо не згадати Р.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Кійосакі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Бодо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Шефера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Ентоні Роббінса,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Зіга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Зіглера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Брайана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Трейсі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Мандіно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Джима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Рона. Послання Роберта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Кійосакі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людям звучить дуже чітко: «Або ви управляєте Вашими фінансами або танцюєте під їх сопілку все життя».</w:t>
      </w:r>
    </w:p>
    <w:p w:rsidR="005E34E1" w:rsidRDefault="005E34E1" w:rsidP="005E34E1">
      <w:pPr>
        <w:shd w:val="clear" w:color="auto" w:fill="FFFFFF"/>
        <w:spacing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пропонованих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малого і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середнього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даними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вченими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можливо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виділити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франчайзинг,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багаторівневий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маркетинг і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інвестування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нерухомість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</w:t>
      </w:r>
      <w:proofErr w:type="gram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перший</w:t>
      </w:r>
      <w:proofErr w:type="gram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погляд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виникнути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думка про те,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зв'язок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ці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бізнесу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українським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козацьким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віче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але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зв'язок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наш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погляд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і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досить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чіткий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проаналізуємо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структуру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найбільш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успішних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компаній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використовують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ці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бізнесу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отримання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прибутків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можемо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дійти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висновку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успіх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можливий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чіткого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proofErr w:type="gram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</w:t>
      </w:r>
      <w:proofErr w:type="gram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ідовного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алу.</w:t>
      </w:r>
    </w:p>
    <w:p w:rsidR="005E34E1" w:rsidRDefault="005E34E1" w:rsidP="005E34E1">
      <w:pPr>
        <w:shd w:val="clear" w:color="auto" w:fill="FFFFFF"/>
        <w:spacing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Щорічно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</w:t>
      </w:r>
      <w:proofErr w:type="gram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західні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компанії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витрачають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до 5%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свого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бюджету на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розвиток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персоналу. "У 80-х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рр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Витрати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внутрифирменную </w:t>
      </w:r>
      <w:proofErr w:type="spellStart"/>
      <w:proofErr w:type="gram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ідготовку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кадрів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різних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корпораціях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склали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 до 750 млрд дол (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суми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дано без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урахування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зарплати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проходили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подвояться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".</w:t>
      </w:r>
    </w:p>
    <w:p w:rsidR="005E34E1" w:rsidRDefault="005E34E1" w:rsidP="005E34E1">
      <w:pPr>
        <w:shd w:val="clear" w:color="auto" w:fill="FFFFFF"/>
        <w:spacing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убізнесі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чітко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повязане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розвитком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власне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бізнесу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а й</w:t>
      </w:r>
      <w:proofErr w:type="gram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з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розвитком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культури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духовності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особистості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Так,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надзвичайно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ефективною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точки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зору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державотворення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ідеї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виявилась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діяльність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патріарха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Греко-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Католицької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церкви,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блаженнійшого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Андрея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Шептицького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котрий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засновником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першої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бізнес-школи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і не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випадково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стверджував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те,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кожен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душе-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пастирь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тобто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священник </w:t>
      </w:r>
      <w:proofErr w:type="gram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повинен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володіти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економічними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знаннями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бути</w:t>
      </w:r>
      <w:proofErr w:type="gram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економічно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грамотним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Завдяки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метрополита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сфері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збагачення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скарбниці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почали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діяти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</w:t>
      </w:r>
      <w:proofErr w:type="gram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господарювання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сільські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комори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майстерні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народної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творчості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пекарні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34E1" w:rsidRDefault="005E34E1" w:rsidP="005E34E1">
      <w:pPr>
        <w:shd w:val="clear" w:color="auto" w:fill="FFFFFF"/>
        <w:spacing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proofErr w:type="gram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останнього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віче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смт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Меджибіж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Летичівського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Хмельницької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яке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відбувалось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лютого 2014 року,  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зясувалось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місцевий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 селища є але, з точки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зору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недосконалості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використати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мешканців-неможливо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незважаючи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наслідок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Віче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виникло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цілий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бізнесових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проектів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отримано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заряд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ентузіазму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позитиву </w:t>
      </w:r>
      <w:proofErr w:type="spellStart"/>
      <w:proofErr w:type="gram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ісцевими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сниками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гончарами і столярами.</w:t>
      </w:r>
    </w:p>
    <w:p w:rsidR="005E34E1" w:rsidRDefault="005E34E1" w:rsidP="005E34E1">
      <w:pPr>
        <w:shd w:val="clear" w:color="auto" w:fill="FFFFFF"/>
        <w:spacing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Іванілов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 С. вважає, що основні причини гальмування розвитку малого підприємництва в Україні:</w:t>
      </w:r>
      <w:r w:rsidRPr="005E34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— неопрацьованість законодавства як з питань розвитку малого підприємництва, так і підприємництва в цілому;</w:t>
      </w:r>
      <w:r w:rsidRPr="005E34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— високі податки, що змушує деяких суб'єктів малого та середнього підприємництва йти в тіньову економіку;</w:t>
      </w:r>
      <w:r w:rsidRPr="005E34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— недостатня державна фінансова-кредитна і майнова підтримка малих підприємств;</w:t>
      </w:r>
      <w:r w:rsidRPr="005E34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— відсутність дійового механізму реалізації державної політики щодо підтримки малого бізнесу;</w:t>
      </w:r>
      <w:r w:rsidRPr="005E34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— недосконалість системи обліку та статистичної звітності малих підприємств;</w:t>
      </w:r>
      <w:r w:rsidRPr="005E34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— обмеженість інформаційного та консультативного забезпечення;</w:t>
      </w:r>
      <w:r w:rsidRPr="005E34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— недосконалість системи підготовки, перепідготовки та підвищення кваліфікації кадрів для підприємницької діяльності;</w:t>
      </w:r>
      <w:r w:rsidRPr="005E34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— відсутність стимулів для інвестицій;</w:t>
      </w:r>
      <w:r w:rsidRPr="005E34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— психологічне неприйняття позитивної ролі підприємців у ринкових перетвореннях серед окремих верств населення.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[ ]</w:t>
      </w:r>
    </w:p>
    <w:p w:rsidR="005E34E1" w:rsidRDefault="005E34E1" w:rsidP="005E34E1">
      <w:pPr>
        <w:shd w:val="clear" w:color="auto" w:fill="FFFFFF"/>
        <w:spacing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4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Вищевказані чинники безумовно є тими, які є актуальними, але у світлі подій, що відбулись у сфері державотворення України можливо стверджувати про те, що Україна як держава зробила свій цивілізаційний вибір і спрямувала свій стратегічний розвиток у бік Європейського союзу із визнанням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цінностеі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правил ведення малого і середнього бізнесу. </w:t>
      </w:r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Тому, </w:t>
      </w:r>
      <w:proofErr w:type="spellStart"/>
      <w:proofErr w:type="gram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</w:t>
      </w:r>
      <w:proofErr w:type="gram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вище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зазначених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вважаємо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точки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зору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історичної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ретроспективи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здійснити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аналіз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таких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факторів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спричиняють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негативну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динаміку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і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серерднього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бізнесу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урбанізація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відсутність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правосуб’єктності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українських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селищ, а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деякі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психологічні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чинники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Так,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даними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комітету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статистики за 2004 </w:t>
      </w:r>
      <w:proofErr w:type="spellStart"/>
      <w:proofErr w:type="gram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ік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складі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24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одна автономна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республіка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490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регіонів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районів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вони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називаються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1 341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міських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поселень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· 28 597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сільських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поселень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10 279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сільських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рад. [ 2 ]</w:t>
      </w:r>
    </w:p>
    <w:p w:rsidR="005E34E1" w:rsidRDefault="005E34E1" w:rsidP="005E34E1">
      <w:pPr>
        <w:shd w:val="clear" w:color="auto" w:fill="FFFFFF"/>
        <w:spacing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4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Ця статистика показує те, що в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україні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є біля 30000 перспективних суб’єкти господарювання, котрими можуть стати сільські і селищні громади за умови набуття ними правосуб’єктності, тобто статусу юридичної особи із визначенням чітких прав господарювання згідно законодавства. Ми маємо на увазі те, що при умові створення бюджетів громад і наявності осіб, зацікавлених заняттям підприємницькою діяльністю, пов’язаною із даними поселеннями, кошти можуть надходити не лише до самих підприємців, а й і до місцевих скарбниць, що в свою чергу можуть покривати частину видатків державного бюджету, і таким чином розвивати і збагачувати нашу українську економіку.</w:t>
      </w:r>
    </w:p>
    <w:p w:rsidR="005E34E1" w:rsidRDefault="005E34E1" w:rsidP="005E34E1">
      <w:pPr>
        <w:shd w:val="clear" w:color="auto" w:fill="FFFFFF"/>
        <w:spacing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ми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зазначали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вище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цінність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бізнесу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полягає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у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надходженнях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але і </w:t>
      </w:r>
      <w:proofErr w:type="gram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самому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успіх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якого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залежить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успіху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тієї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іншої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програми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персоналу. 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Народне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віче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складова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даного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відіграти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</w:t>
      </w:r>
      <w:proofErr w:type="gram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ідного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майданчика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досягнень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тобто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наприклад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у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місяць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надаватись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певні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нагороди, а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найголовніше-оплески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громади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обємним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заходом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можливо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виділити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виїздні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заходи,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наприклад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участь у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міжнародних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цілевих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виставках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столиці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в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містах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Європи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Але </w:t>
      </w:r>
      <w:proofErr w:type="spellStart"/>
      <w:proofErr w:type="gram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ідприємець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зіштовхнутись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цілим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рядом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супутніх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проблем: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складування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товарів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транспортні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Безумовно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ідтримки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громади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суб’єкта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господарювання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виникнути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певні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домовленості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наприклад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керівництвом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даної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громади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керівництвом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столиці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стосовно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допомоги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сприяння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даній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створити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якісні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ведення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народного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бізнесу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Таким чином,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простий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суб’єкт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народного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господарства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гончар,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коваль,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боднар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отримає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чудову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перспективу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визнанням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власних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досягнень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міжнародному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івні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вирішити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додаткову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психологічну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проблему «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забутості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 боку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риємців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селах. </w:t>
      </w:r>
    </w:p>
    <w:p w:rsidR="005E34E1" w:rsidRDefault="005E34E1" w:rsidP="005E34E1">
      <w:pPr>
        <w:shd w:val="clear" w:color="auto" w:fill="FFFFFF"/>
        <w:spacing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4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Іншою складовою діяльності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будь-якго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успішного бізнесу є правовий захист, тобто набуття статусу суб’єкта інтелектуальної власності і разом із тим кращої «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упізнаваності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діяльності, що при умовах сприяння держави може стати справжнім «інформаційним бумом» у створенні нових торгівельних брендів на зразок: «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пеший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сільський банк-господар», «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Меджибізька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кавярня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», «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Требуховецька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сільська комора», «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Пархомівська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майстерня народної творчості». Тобто ми маємо на увазі популяризацію української самодостатності та ідентичності на міжнародному рівні, що є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складоавою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стратегії </w:t>
      </w:r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34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Українського національного розвитку.</w:t>
      </w:r>
    </w:p>
    <w:p w:rsidR="005E34E1" w:rsidRPr="005E34E1" w:rsidRDefault="005E34E1" w:rsidP="005E34E1">
      <w:pPr>
        <w:shd w:val="clear" w:color="auto" w:fill="FFFFFF"/>
        <w:spacing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Отже, ми вважаємо, що розвиток економіки України повинен відбуватись у дусі</w:t>
      </w:r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34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еволюційного розвитку малого бізнесу</w:t>
      </w:r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34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шляхом організації систем визнання і навчальної підтримки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з-боку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держави в умовах надання правосуб’єктності українським громадам і отримання допомоги у міжнародному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брендуванні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боку України та зацікавлених сторін.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Революція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даному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контексті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полягає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 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необхідності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народних</w:t>
      </w:r>
      <w:proofErr w:type="spellEnd"/>
      <w:proofErr w:type="gram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іч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 кожному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30000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українських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поселень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мінімум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у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місяць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Література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Біленчук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П.Д., Кравченко В.В., </w:t>
      </w:r>
      <w:proofErr w:type="spellStart"/>
      <w:proofErr w:type="gram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ідмогильний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Місцеве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укарїні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муніципальне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право.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Навчальний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ібник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-К.: атака, 2000-304 с.</w:t>
      </w:r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Іванілов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С.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Економіка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підручник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О. С.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Іванілов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. - К.</w:t>
      </w:r>
      <w:proofErr w:type="gram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учбової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літератури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2009. - 728 с.</w:t>
      </w:r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Державний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статистики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України-електрониий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ресурс. Режим доступу: </w:t>
      </w:r>
      <w:hyperlink r:id="rId5" w:tgtFrame="_blank" w:history="1">
        <w:r w:rsidRPr="005E34E1">
          <w:rPr>
            <w:rFonts w:ascii="Times New Roman" w:eastAsia="Times New Roman" w:hAnsi="Times New Roman" w:cs="Times New Roman"/>
            <w:color w:val="2962FF"/>
            <w:sz w:val="24"/>
            <w:szCs w:val="24"/>
            <w:lang w:eastAsia="ru-RU"/>
          </w:rPr>
          <w:t>http://www.ukrstat.gov.ua/</w:t>
        </w:r>
      </w:hyperlink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Закон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«Закону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державну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ідтримку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підприємництва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19.10.2000 р. № 2063-Ш</w:t>
      </w:r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Основи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інтелектуальної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власності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.-К.: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Юридичне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видавництво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„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Ін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Юре”, 1999.-578.</w:t>
      </w:r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Право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інтелектуальної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власності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Європейського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Союзу та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за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редакцією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Ю.М.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Капіци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.-К.: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Видавничий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Ді</w:t>
      </w:r>
      <w:proofErr w:type="gram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proofErr w:type="gram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„Слово”, 2006р.</w:t>
      </w:r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Великий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тлумачний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словник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сучасної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/Уклад. і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</w:t>
      </w:r>
      <w:proofErr w:type="gram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В.Т.Бусел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.-К.; </w:t>
      </w:r>
      <w:proofErr w:type="spellStart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Ірпінь</w:t>
      </w:r>
      <w:proofErr w:type="spellEnd"/>
      <w:r w:rsidRPr="005E34E1">
        <w:rPr>
          <w:rFonts w:ascii="Times New Roman" w:eastAsia="Times New Roman" w:hAnsi="Times New Roman" w:cs="Times New Roman"/>
          <w:sz w:val="24"/>
          <w:szCs w:val="24"/>
          <w:lang w:eastAsia="ru-RU"/>
        </w:rPr>
        <w:t>: ВТФ ”Перун”, 2004.-1440с.</w:t>
      </w:r>
    </w:p>
    <w:p w:rsidR="00B423AE" w:rsidRPr="005E34E1" w:rsidRDefault="00B423AE" w:rsidP="005E34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423AE" w:rsidRPr="005E3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5A"/>
    <w:rsid w:val="005E34E1"/>
    <w:rsid w:val="00B423AE"/>
    <w:rsid w:val="00CE0C5A"/>
    <w:rsid w:val="00DF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9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8471">
              <w:marLeft w:val="24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4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krstat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2018-04-24T11:16:00Z</dcterms:created>
  <dcterms:modified xsi:type="dcterms:W3CDTF">2018-04-24T11:32:00Z</dcterms:modified>
</cp:coreProperties>
</file>